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                                                     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ПРОЕКТ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 Сухо-Берёзовского сельского поселения  на 2024 год 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10101"/>
          <w:spacing w:val="0"/>
          <w:position w:val="0"/>
          <w:sz w:val="24"/>
          <w:shd w:fill="FFFFFF" w:val="clear"/>
        </w:rPr>
        <w:t xml:space="preserve">Раздел 1. Общие положения 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 Сухо-Берёзовского сельского поселения.  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10101"/>
          <w:spacing w:val="0"/>
          <w:position w:val="0"/>
          <w:sz w:val="24"/>
          <w:shd w:fill="FFFFFF" w:val="clear"/>
        </w:rPr>
        <w:t xml:space="preserve">Раздел 2. Аналитическая часть Программы 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2.1.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Полномочия по виду муниципального контроля.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Муниципальный земельный контроль на территории Сухо-Берёзовского сельского поселения   осуществляется должностными лицами администрации Сухо-Берёзовского сельского поселения   (далее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Должностные лица, Должностное лицо).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2.2.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Обзор по виду муниципального контроля.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Муниципальный земельный контроль (далее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муниципальный контроль)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2.3.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Муниципальный земельный контроль осуществляется посредством: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организации и проведения мероприятий по профилактике рисков причинения вреда (ущерба) охраняемым законом ценностям;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2.4.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Подконтрольные субъекты: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2.5.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Должностными лицами мероприятий по муниципальному земельному контролю: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Земельный Кодекс Российской Федерации;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Федеральный закон от 24.07.2002 </w:t>
      </w:r>
      <w:r>
        <w:rPr>
          <w:rFonts w:ascii="Segoe UI Symbol" w:hAnsi="Segoe UI Symbol" w:cs="Segoe UI Symbol" w:eastAsia="Segoe UI Symbol"/>
          <w:color w:val="010101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 101-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ФЗ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Об обороте земель сельскохозяйственного назначения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»;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Закон Воронежской области от 13.05.2008 </w:t>
      </w:r>
      <w:r>
        <w:rPr>
          <w:rFonts w:ascii="Segoe UI Symbol" w:hAnsi="Segoe UI Symbol" w:cs="Segoe UI Symbol" w:eastAsia="Segoe UI Symbol"/>
          <w:color w:val="010101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 25-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ОЗ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 регулировании земельных отношений на территории Воронежской области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2.6.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Данные о проведенных мероприятиях.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В 2022 году в отношении юридических лиц и индивидуальных предпринимателей Должностными лицами плановые и внеплановые проверки соблюдения земельного законодательства не проводились.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2.7.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Анализ и оценка рисков причинения вреда охраняемым законом ценностям.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>
      <w:pPr>
        <w:spacing w:before="100" w:after="100" w:line="240"/>
        <w:ind w:right="0" w:left="0" w:firstLine="851"/>
        <w:jc w:val="center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10101"/>
          <w:spacing w:val="0"/>
          <w:position w:val="0"/>
          <w:sz w:val="24"/>
          <w:shd w:fill="FFFFFF" w:val="clear"/>
        </w:rPr>
        <w:t xml:space="preserve">Раздел 3. Цели и задачи Программы 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3.1.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Цели Программы: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стимулирование добросовестного соблюдения обязательных требований всеми контролируемыми лицами;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3.2.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Задачи Программы: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формирование единого понимания обязательных требований законодательства у всех участников контрольной деятельности;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повышение прозрачности осуществляемой Должностными лицами контрольной деятельности;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10101"/>
          <w:spacing w:val="0"/>
          <w:position w:val="0"/>
          <w:sz w:val="24"/>
          <w:shd w:fill="FFFFFF" w:val="clear"/>
        </w:rPr>
        <w:t xml:space="preserve">Раздел 4. План мероприятий по профилактике нарушений 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2024 год (приложение). 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10101"/>
          <w:spacing w:val="0"/>
          <w:position w:val="0"/>
          <w:sz w:val="24"/>
          <w:shd w:fill="FFFFFF" w:val="clear"/>
        </w:rPr>
        <w:t xml:space="preserve">Раздел 5. Показатели результативности и эффективности Программы. 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Отчетные показатели Программы за 2022 год: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доля профилактических мероприятий в объеме контрольныхмероприятий-80 %.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Экономический эффект от реализованных мероприятий: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повышение уровня доверия подконтрольных субъектов к Должностным лицам. 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10101"/>
          <w:spacing w:val="0"/>
          <w:position w:val="0"/>
          <w:sz w:val="24"/>
          <w:shd w:fill="FFFFFF" w:val="clear"/>
        </w:rPr>
        <w:t xml:space="preserve">Раздел 6. Порядок управления Программой.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10101"/>
          <w:spacing w:val="0"/>
          <w:position w:val="0"/>
          <w:sz w:val="24"/>
          <w:shd w:fill="FFFFFF" w:val="clear"/>
        </w:rPr>
        <w:t xml:space="preserve">Перечень должностных лиц администрации  Сухо-Берёзовского сельского поселения  , ответственных за организацию и проведение профилактических мероприятий при осуществлении муниципального земельного контроля на территории Сухо-Берёзовского сельского поселения  </w:t>
      </w:r>
    </w:p>
    <w:tbl>
      <w:tblPr/>
      <w:tblGrid>
        <w:gridCol w:w="354"/>
        <w:gridCol w:w="3538"/>
        <w:gridCol w:w="3102"/>
        <w:gridCol w:w="2371"/>
      </w:tblGrid>
      <w:tr>
        <w:trPr>
          <w:trHeight w:val="1" w:hRule="atLeast"/>
          <w:jc w:val="left"/>
        </w:trPr>
        <w:tc>
          <w:tcPr>
            <w:tcW w:w="354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3538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Должностные лица</w:t>
            </w:r>
          </w:p>
        </w:tc>
        <w:tc>
          <w:tcPr>
            <w:tcW w:w="3102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Функции</w:t>
            </w:r>
          </w:p>
        </w:tc>
        <w:tc>
          <w:tcPr>
            <w:tcW w:w="2371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Контакты</w:t>
            </w:r>
          </w:p>
        </w:tc>
      </w:tr>
      <w:tr>
        <w:trPr>
          <w:trHeight w:val="1" w:hRule="atLeast"/>
          <w:jc w:val="left"/>
        </w:trPr>
        <w:tc>
          <w:tcPr>
            <w:tcW w:w="354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538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Глава Сухо-Берёзовского сельского поселения</w:t>
            </w:r>
          </w:p>
        </w:tc>
        <w:tc>
          <w:tcPr>
            <w:tcW w:w="3102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Организация и проведение мероприятий по реализации программы</w:t>
            </w:r>
          </w:p>
        </w:tc>
        <w:tc>
          <w:tcPr>
            <w:tcW w:w="2371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8 (447350)52-1-24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 suhber.bobr@govvrn.ru</w:t>
            </w:r>
          </w:p>
        </w:tc>
      </w:tr>
    </w:tbl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Сухо-Берёзовского сельского поселения на 2024 год.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Результаты профилактической работы Должностных лиц включаются в Доклад об осуществлении муниципального земельного на территории  Сухо-Берёзовского сельского поселения на 2024 год.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5103" w:firstLine="0"/>
        <w:jc w:val="left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10101"/>
          <w:spacing w:val="0"/>
          <w:position w:val="0"/>
          <w:sz w:val="24"/>
          <w:shd w:fill="FFFFFF" w:val="clear"/>
        </w:rPr>
        <w:t xml:space="preserve">Приложение к Программе профилактики рисков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b/>
          <w:i/>
          <w:color w:val="010101"/>
          <w:spacing w:val="0"/>
          <w:position w:val="0"/>
          <w:sz w:val="24"/>
          <w:shd w:fill="FFFFFF" w:val="clear"/>
        </w:rPr>
        <w:t xml:space="preserve">причинения вреда (ущерба)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b/>
          <w:i/>
          <w:color w:val="010101"/>
          <w:spacing w:val="0"/>
          <w:position w:val="0"/>
          <w:sz w:val="24"/>
          <w:shd w:fill="FFFFFF" w:val="clear"/>
        </w:rPr>
        <w:t xml:space="preserve">охраняемым законом ценностям на 2024 год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План мероприятий по профилактике нарушений земельного законодательства на территории  Сухо-Берёзовского сельского поселения на 2024 год </w:t>
      </w:r>
    </w:p>
    <w:tbl>
      <w:tblPr/>
      <w:tblGrid>
        <w:gridCol w:w="354"/>
        <w:gridCol w:w="2376"/>
        <w:gridCol w:w="3541"/>
        <w:gridCol w:w="1776"/>
        <w:gridCol w:w="1318"/>
      </w:tblGrid>
      <w:tr>
        <w:trPr>
          <w:trHeight w:val="1" w:hRule="atLeast"/>
          <w:jc w:val="left"/>
        </w:trPr>
        <w:tc>
          <w:tcPr>
            <w:tcW w:w="354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376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Наименование мероприятия</w:t>
            </w:r>
          </w:p>
        </w:tc>
        <w:tc>
          <w:tcPr>
            <w:tcW w:w="3541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Сведения о мероприятии</w:t>
            </w:r>
          </w:p>
        </w:tc>
        <w:tc>
          <w:tcPr>
            <w:tcW w:w="1776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Ответственный исполнитель</w:t>
            </w:r>
          </w:p>
        </w:tc>
        <w:tc>
          <w:tcPr>
            <w:tcW w:w="1318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Срок исполнения</w:t>
            </w:r>
          </w:p>
        </w:tc>
      </w:tr>
      <w:tr>
        <w:trPr>
          <w:trHeight w:val="1" w:hRule="atLeast"/>
          <w:jc w:val="left"/>
        </w:trPr>
        <w:tc>
          <w:tcPr>
            <w:tcW w:w="354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2376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Информирование</w:t>
            </w:r>
          </w:p>
        </w:tc>
        <w:tc>
          <w:tcPr>
            <w:tcW w:w="3541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Должностное лицо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Сухо-Берёзовского сельского поселения в информационно-телекоммуникационной сети "Интернет" и в иных формах.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Должностное лицо размещает и поддерживает в актуальном состоянии на своем официальном сайте в сети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»: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1)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тексты нормативных правовых актов, регулирующих осуществление муниципального земельного контроля;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2)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руководства по соблюдению обязательных требований.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3)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программу профилактики рисков причинения вреда и план проведения плановых контрольных мероприятий;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4)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сведения о способах получения консультаций по вопросам соблюдения обязательных требований;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5)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доклады, содержащие результаты обобщения правоприменительной практики;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6)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доклады о муниципальном контроле;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7)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иные сведения, предусмотренные нормативными правовыми актами Российской Федерации, нормативными правовыми актами Воронежской области, муниципальными правовыми актами.</w:t>
            </w:r>
          </w:p>
        </w:tc>
        <w:tc>
          <w:tcPr>
            <w:tcW w:w="1776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Должностные лица 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318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</w:tr>
      <w:tr>
        <w:trPr>
          <w:trHeight w:val="1" w:hRule="atLeast"/>
          <w:jc w:val="left"/>
        </w:trPr>
        <w:tc>
          <w:tcPr>
            <w:tcW w:w="354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2376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Обобщение правоприменительной практики</w:t>
            </w:r>
          </w:p>
        </w:tc>
        <w:tc>
          <w:tcPr>
            <w:tcW w:w="3541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Доклад о правоприменительной практике размещается на официальном сайте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Сухо-Берёзовского сельского поселения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776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Должностные лица </w:t>
            </w:r>
          </w:p>
        </w:tc>
        <w:tc>
          <w:tcPr>
            <w:tcW w:w="1318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раз в год</w:t>
            </w:r>
          </w:p>
        </w:tc>
      </w:tr>
      <w:tr>
        <w:trPr>
          <w:trHeight w:val="1" w:hRule="atLeast"/>
          <w:jc w:val="left"/>
        </w:trPr>
        <w:tc>
          <w:tcPr>
            <w:tcW w:w="354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2376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Объявление предостережения</w:t>
            </w:r>
          </w:p>
        </w:tc>
        <w:tc>
          <w:tcPr>
            <w:tcW w:w="3541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1776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Должностные лица </w:t>
            </w:r>
          </w:p>
        </w:tc>
        <w:tc>
          <w:tcPr>
            <w:tcW w:w="1318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</w:tr>
      <w:tr>
        <w:trPr>
          <w:trHeight w:val="1" w:hRule="atLeast"/>
          <w:jc w:val="left"/>
        </w:trPr>
        <w:tc>
          <w:tcPr>
            <w:tcW w:w="354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2376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Консультирование</w:t>
            </w:r>
          </w:p>
        </w:tc>
        <w:tc>
          <w:tcPr>
            <w:tcW w:w="3541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Консультирование, осуществляется по следующим вопросам: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разъяснение положений нормативных правовых актов, регламентирующих порядок осуществления муниципального контроля;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компетенция уполномоченного органа;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порядок обжалования действий (бездействия) муниципальных инспекторов.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Сухо-Берёзовского сельского поселения  в информационно-телекоммуникационной сети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на странице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Муниципальный контроль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письменного разъяснения, подписанного уполномоченным Должностным лицом.</w:t>
            </w:r>
          </w:p>
        </w:tc>
        <w:tc>
          <w:tcPr>
            <w:tcW w:w="1776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Должностные лица </w:t>
            </w:r>
          </w:p>
        </w:tc>
        <w:tc>
          <w:tcPr>
            <w:tcW w:w="1318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</w:tr>
      <w:tr>
        <w:trPr>
          <w:trHeight w:val="1" w:hRule="atLeast"/>
          <w:jc w:val="left"/>
        </w:trPr>
        <w:tc>
          <w:tcPr>
            <w:tcW w:w="354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2376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Профилактический визит</w:t>
            </w:r>
          </w:p>
        </w:tc>
        <w:tc>
          <w:tcPr>
            <w:tcW w:w="3541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Обязательный профилактический визит проводится отношении объектов контроля, отнесенных к категории значительного риска, ив отношении контролируемых лиц, впервые приступающих к осуществлению деятельности в сфере муниципального земельного контроля.</w:t>
            </w: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</w:t>
            </w:r>
            <w:r>
              <w:rPr>
                <w:rFonts w:ascii="Segoe UI Symbol" w:hAnsi="Segoe UI Symbol" w:cs="Segoe UI Symbol" w:eastAsia="Segoe UI Symbol"/>
                <w:color w:val="010101"/>
                <w:spacing w:val="0"/>
                <w:position w:val="0"/>
                <w:sz w:val="24"/>
                <w:shd w:fill="FFFFFF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 248-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ФЗ.</w:t>
            </w: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</w:t>
            </w:r>
            <w:r>
              <w:rPr>
                <w:rFonts w:ascii="Segoe UI Symbol" w:hAnsi="Segoe UI Symbol" w:cs="Segoe UI Symbol" w:eastAsia="Segoe UI Symbol"/>
                <w:color w:val="010101"/>
                <w:spacing w:val="0"/>
                <w:position w:val="0"/>
                <w:sz w:val="24"/>
                <w:shd w:fill="FFFFFF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 248-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ФЗ.</w:t>
            </w: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1776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Должностные лица</w:t>
            </w:r>
          </w:p>
        </w:tc>
        <w:tc>
          <w:tcPr>
            <w:tcW w:w="1318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IV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квартале т.г.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